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9" w:rsidRPr="003A730C" w:rsidRDefault="008052A9" w:rsidP="00617CC7">
      <w:pPr>
        <w:spacing w:after="0" w:line="240" w:lineRule="auto"/>
        <w:rPr>
          <w:lang w:val="en-GB"/>
        </w:rPr>
      </w:pPr>
    </w:p>
    <w:p w:rsidR="008052A9" w:rsidRPr="000B232F" w:rsidRDefault="008052A9" w:rsidP="00617CC7">
      <w:pPr>
        <w:spacing w:after="0" w:line="240" w:lineRule="auto"/>
        <w:rPr>
          <w:b/>
          <w:sz w:val="32"/>
          <w:lang w:val="en-GB"/>
        </w:rPr>
      </w:pPr>
      <w:proofErr w:type="spellStart"/>
      <w:r w:rsidRPr="00D25F63">
        <w:rPr>
          <w:b/>
          <w:sz w:val="32"/>
          <w:highlight w:val="lightGray"/>
          <w:lang w:val="en-GB"/>
        </w:rPr>
        <w:t>Nutribound</w:t>
      </w:r>
      <w:proofErr w:type="spellEnd"/>
    </w:p>
    <w:p w:rsidR="008052A9" w:rsidRPr="000B232F" w:rsidRDefault="008052A9" w:rsidP="00617CC7">
      <w:pPr>
        <w:spacing w:after="0" w:line="240" w:lineRule="auto"/>
        <w:rPr>
          <w:lang w:val="en-GB"/>
        </w:rPr>
      </w:pPr>
    </w:p>
    <w:p w:rsidR="00F52D83" w:rsidRDefault="00F52D83" w:rsidP="00617CC7">
      <w:pPr>
        <w:spacing w:after="0" w:line="240" w:lineRule="auto"/>
        <w:rPr>
          <w:lang w:val="en-GB"/>
        </w:rPr>
      </w:pPr>
      <w:r>
        <w:rPr>
          <w:lang w:val="en-GB"/>
        </w:rPr>
        <w:t>ÍZESÍTETT SZÁJON ÁT ADANDÓ OLDAT MACSKÁK SZÁMÁRA</w:t>
      </w:r>
    </w:p>
    <w:p w:rsidR="008052A9" w:rsidRPr="001519CE" w:rsidRDefault="008052A9" w:rsidP="00617CC7">
      <w:pPr>
        <w:spacing w:after="0" w:line="240" w:lineRule="auto"/>
        <w:rPr>
          <w:lang w:val="en-US"/>
        </w:rPr>
      </w:pPr>
    </w:p>
    <w:p w:rsidR="00F51AFB" w:rsidRDefault="00F51AFB" w:rsidP="00F51AFB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esszenciális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összetevők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támogatják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macskák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progresszív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felépülését</w:t>
      </w:r>
      <w:proofErr w:type="spellEnd"/>
      <w:r>
        <w:rPr>
          <w:lang w:val="en-US"/>
        </w:rPr>
        <w:t>.</w:t>
      </w:r>
    </w:p>
    <w:p w:rsidR="008052A9" w:rsidRPr="001519CE" w:rsidRDefault="008052A9" w:rsidP="00617CC7">
      <w:pPr>
        <w:spacing w:after="0" w:line="240" w:lineRule="auto"/>
        <w:rPr>
          <w:lang w:val="en-GB"/>
        </w:rPr>
      </w:pPr>
    </w:p>
    <w:p w:rsidR="00F52D83" w:rsidRDefault="00F52D83" w:rsidP="00F52D8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TAKARMÁNY KIEGÉSZÍTŐ MACSKÁK SZÁMÁRA 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F52D83" w:rsidRDefault="00F52D83" w:rsidP="00617CC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LEÍRÁS</w:t>
      </w:r>
    </w:p>
    <w:p w:rsidR="008052A9" w:rsidRDefault="008052A9" w:rsidP="00617CC7">
      <w:pPr>
        <w:spacing w:after="0" w:line="240" w:lineRule="auto"/>
        <w:rPr>
          <w:lang w:val="en-US"/>
        </w:rPr>
      </w:pPr>
      <w:proofErr w:type="spellStart"/>
      <w:r w:rsidRPr="00D25F63"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</w:t>
      </w:r>
      <w:proofErr w:type="spellStart"/>
      <w:r w:rsidR="00BC567C">
        <w:rPr>
          <w:lang w:val="en-US"/>
        </w:rPr>
        <w:t>az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essenciális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összetevőknek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köszönhetően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biztosítja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az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ajánlott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támogatást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az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állatok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felépüléséhez</w:t>
      </w:r>
      <w:proofErr w:type="spellEnd"/>
      <w:r w:rsidR="00BC567C">
        <w:rPr>
          <w:lang w:val="en-US"/>
        </w:rPr>
        <w:t xml:space="preserve"> a </w:t>
      </w:r>
      <w:proofErr w:type="spellStart"/>
      <w:r w:rsidR="00BC567C">
        <w:rPr>
          <w:lang w:val="en-US"/>
        </w:rPr>
        <w:t>nagyon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korai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stádiumtól</w:t>
      </w:r>
      <w:proofErr w:type="spellEnd"/>
      <w:r w:rsidR="00BC567C">
        <w:rPr>
          <w:lang w:val="en-US"/>
        </w:rPr>
        <w:t xml:space="preserve"> </w:t>
      </w:r>
      <w:proofErr w:type="spellStart"/>
      <w:r w:rsidR="00BC567C">
        <w:rPr>
          <w:lang w:val="en-US"/>
        </w:rPr>
        <w:t>kezdve</w:t>
      </w:r>
      <w:proofErr w:type="spellEnd"/>
      <w:r w:rsidR="00BC567C">
        <w:rPr>
          <w:lang w:val="en-US"/>
        </w:rPr>
        <w:t>.</w:t>
      </w:r>
    </w:p>
    <w:p w:rsidR="00B024E5" w:rsidRDefault="00B024E5" w:rsidP="00617CC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TULAJDONSÁGOK</w:t>
      </w:r>
    </w:p>
    <w:p w:rsidR="00B024E5" w:rsidRPr="000B232F" w:rsidRDefault="00D25F63" w:rsidP="00B024E5">
      <w:pPr>
        <w:spacing w:after="0" w:line="240" w:lineRule="auto"/>
        <w:rPr>
          <w:lang w:val="en-US"/>
        </w:rPr>
      </w:pPr>
      <w:proofErr w:type="spellStart"/>
      <w:r w:rsidRPr="00D25F63"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</w:t>
      </w:r>
      <w:proofErr w:type="spellStart"/>
      <w:r w:rsidR="00B024E5">
        <w:rPr>
          <w:lang w:val="en-US"/>
        </w:rPr>
        <w:t>egy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nagyon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ízletes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és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felhasználásra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kész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folyadék</w:t>
      </w:r>
      <w:proofErr w:type="spellEnd"/>
      <w:r w:rsidR="00B024E5">
        <w:rPr>
          <w:lang w:val="en-US"/>
        </w:rPr>
        <w:t xml:space="preserve">, </w:t>
      </w:r>
      <w:proofErr w:type="spellStart"/>
      <w:r w:rsidR="00B024E5">
        <w:rPr>
          <w:lang w:val="en-US"/>
        </w:rPr>
        <w:t>amely</w:t>
      </w:r>
      <w:proofErr w:type="spellEnd"/>
      <w:r w:rsidR="00B024E5">
        <w:rPr>
          <w:lang w:val="en-US"/>
        </w:rPr>
        <w:t xml:space="preserve"> </w:t>
      </w:r>
      <w:proofErr w:type="spellStart"/>
      <w:r w:rsidR="00B024E5">
        <w:rPr>
          <w:lang w:val="en-US"/>
        </w:rPr>
        <w:t>serk</w:t>
      </w:r>
      <w:r w:rsidR="00011B91">
        <w:rPr>
          <w:lang w:val="en-US"/>
        </w:rPr>
        <w:t>enti</w:t>
      </w:r>
      <w:proofErr w:type="spellEnd"/>
      <w:r w:rsidR="00011B91">
        <w:rPr>
          <w:lang w:val="en-US"/>
        </w:rPr>
        <w:t xml:space="preserve"> </w:t>
      </w:r>
      <w:proofErr w:type="spellStart"/>
      <w:r w:rsidR="00011B91">
        <w:rPr>
          <w:lang w:val="en-US"/>
        </w:rPr>
        <w:t>az</w:t>
      </w:r>
      <w:proofErr w:type="spellEnd"/>
      <w:r w:rsidR="00011B91">
        <w:rPr>
          <w:lang w:val="en-US"/>
        </w:rPr>
        <w:t xml:space="preserve"> </w:t>
      </w:r>
      <w:proofErr w:type="spellStart"/>
      <w:r w:rsidR="00011B91">
        <w:rPr>
          <w:lang w:val="en-US"/>
        </w:rPr>
        <w:t>étvágyat</w:t>
      </w:r>
      <w:proofErr w:type="spellEnd"/>
      <w:r w:rsidR="00D525C1">
        <w:rPr>
          <w:lang w:val="en-US"/>
        </w:rPr>
        <w:t xml:space="preserve">, </w:t>
      </w:r>
      <w:proofErr w:type="spellStart"/>
      <w:r w:rsidR="00D525C1">
        <w:rPr>
          <w:lang w:val="en-US"/>
        </w:rPr>
        <w:t>amíg</w:t>
      </w:r>
      <w:proofErr w:type="spellEnd"/>
      <w:r w:rsidR="00D525C1">
        <w:rPr>
          <w:lang w:val="en-US"/>
        </w:rPr>
        <w:t xml:space="preserve"> a </w:t>
      </w:r>
      <w:proofErr w:type="spellStart"/>
      <w:r w:rsidR="00D525C1">
        <w:rPr>
          <w:lang w:val="en-US"/>
        </w:rPr>
        <w:t>szokásos</w:t>
      </w:r>
      <w:proofErr w:type="spellEnd"/>
      <w:r w:rsidR="00D525C1">
        <w:rPr>
          <w:lang w:val="en-US"/>
        </w:rPr>
        <w:t xml:space="preserve"> </w:t>
      </w:r>
      <w:proofErr w:type="spellStart"/>
      <w:r w:rsidR="00D525C1">
        <w:rPr>
          <w:lang w:val="en-US"/>
        </w:rPr>
        <w:t>étvágy</w:t>
      </w:r>
      <w:proofErr w:type="spellEnd"/>
      <w:r w:rsidR="00D525C1">
        <w:rPr>
          <w:lang w:val="en-US"/>
        </w:rPr>
        <w:t xml:space="preserve"> </w:t>
      </w:r>
      <w:proofErr w:type="spellStart"/>
      <w:r w:rsidR="00D525C1">
        <w:rPr>
          <w:lang w:val="en-US"/>
        </w:rPr>
        <w:t>visszatér</w:t>
      </w:r>
      <w:proofErr w:type="spellEnd"/>
      <w:r w:rsidR="00D525C1">
        <w:rPr>
          <w:lang w:val="en-US"/>
        </w:rPr>
        <w:t>.</w:t>
      </w:r>
    </w:p>
    <w:p w:rsidR="00083E74" w:rsidRPr="00AD0BB5" w:rsidRDefault="00083E74" w:rsidP="00617CC7">
      <w:pPr>
        <w:spacing w:after="0" w:line="240" w:lineRule="auto"/>
        <w:rPr>
          <w:color w:val="E36C0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6172"/>
      </w:tblGrid>
      <w:tr w:rsidR="008052A9" w:rsidRPr="00054265" w:rsidTr="00867121">
        <w:tc>
          <w:tcPr>
            <w:tcW w:w="3116" w:type="dxa"/>
          </w:tcPr>
          <w:p w:rsidR="008052A9" w:rsidRPr="002E48E7" w:rsidRDefault="008052A9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Arginin</w:t>
            </w:r>
            <w:proofErr w:type="spellEnd"/>
          </w:p>
        </w:tc>
        <w:tc>
          <w:tcPr>
            <w:tcW w:w="6172" w:type="dxa"/>
          </w:tcPr>
          <w:p w:rsidR="008052A9" w:rsidRPr="004B512C" w:rsidRDefault="003370F7" w:rsidP="003370F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Aminosav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nitrogén-oxid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prekurzora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fontos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szerepet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járszik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immunrendszer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működésében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sebgyógyulásban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sejtosztódásban</w:t>
            </w:r>
            <w:proofErr w:type="spellEnd"/>
          </w:p>
        </w:tc>
      </w:tr>
      <w:tr w:rsidR="008052A9" w:rsidRPr="00054265" w:rsidTr="00867121">
        <w:tc>
          <w:tcPr>
            <w:tcW w:w="3116" w:type="dxa"/>
          </w:tcPr>
          <w:p w:rsidR="008052A9" w:rsidRPr="002E48E7" w:rsidRDefault="008052A9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Taurin</w:t>
            </w:r>
            <w:proofErr w:type="spellEnd"/>
          </w:p>
        </w:tc>
        <w:tc>
          <w:tcPr>
            <w:tcW w:w="6172" w:type="dxa"/>
          </w:tcPr>
          <w:p w:rsidR="008052A9" w:rsidRPr="004B512C" w:rsidRDefault="00A47D44" w:rsidP="004333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Szerves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anyag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antioxidáns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tulajdonság</w:t>
            </w:r>
            <w:r w:rsidR="00874F1A">
              <w:rPr>
                <w:lang w:val="en-US"/>
              </w:rPr>
              <w:t>okkal</w:t>
            </w:r>
            <w:proofErr w:type="spellEnd"/>
            <w:r w:rsidR="00874F1A">
              <w:rPr>
                <w:lang w:val="en-US"/>
              </w:rPr>
              <w:t xml:space="preserve">, </w:t>
            </w:r>
            <w:proofErr w:type="spellStart"/>
            <w:r w:rsidR="00874F1A">
              <w:rPr>
                <w:lang w:val="en-US"/>
              </w:rPr>
              <w:t>mely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esszenciális</w:t>
            </w:r>
            <w:proofErr w:type="spellEnd"/>
            <w:r w:rsidR="00433338">
              <w:rPr>
                <w:lang w:val="en-US"/>
              </w:rPr>
              <w:t xml:space="preserve"> a </w:t>
            </w:r>
            <w:proofErr w:type="spellStart"/>
            <w:r w:rsidR="00433338">
              <w:rPr>
                <w:lang w:val="en-US"/>
              </w:rPr>
              <w:t>szív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és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érrendszer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számára</w:t>
            </w:r>
            <w:proofErr w:type="spellEnd"/>
            <w:r w:rsidR="00433338">
              <w:rPr>
                <w:lang w:val="en-US"/>
              </w:rPr>
              <w:t xml:space="preserve">; </w:t>
            </w:r>
            <w:proofErr w:type="spellStart"/>
            <w:r w:rsidR="00433338">
              <w:rPr>
                <w:lang w:val="en-US"/>
              </w:rPr>
              <w:t>fontos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funkciója</w:t>
            </w:r>
            <w:proofErr w:type="spellEnd"/>
            <w:r w:rsidR="00433338">
              <w:rPr>
                <w:lang w:val="en-US"/>
              </w:rPr>
              <w:t xml:space="preserve"> van a </w:t>
            </w:r>
            <w:proofErr w:type="spellStart"/>
            <w:r w:rsidR="00433338">
              <w:rPr>
                <w:lang w:val="en-US"/>
              </w:rPr>
              <w:t>vázizomzatban</w:t>
            </w:r>
            <w:proofErr w:type="spellEnd"/>
            <w:r w:rsidR="00433338">
              <w:rPr>
                <w:lang w:val="en-US"/>
              </w:rPr>
              <w:t xml:space="preserve">, a </w:t>
            </w:r>
            <w:proofErr w:type="spellStart"/>
            <w:r w:rsidR="00433338">
              <w:rPr>
                <w:lang w:val="en-US"/>
              </w:rPr>
              <w:t>retinában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és</w:t>
            </w:r>
            <w:proofErr w:type="spellEnd"/>
            <w:r w:rsidR="00433338">
              <w:rPr>
                <w:lang w:val="en-US"/>
              </w:rPr>
              <w:t xml:space="preserve"> a </w:t>
            </w:r>
            <w:proofErr w:type="spellStart"/>
            <w:r w:rsidR="00433338">
              <w:rPr>
                <w:lang w:val="en-US"/>
              </w:rPr>
              <w:t>központi</w:t>
            </w:r>
            <w:proofErr w:type="spellEnd"/>
            <w:r w:rsidR="00433338">
              <w:rPr>
                <w:lang w:val="en-US"/>
              </w:rPr>
              <w:t xml:space="preserve"> </w:t>
            </w:r>
            <w:proofErr w:type="spellStart"/>
            <w:r w:rsidR="00433338">
              <w:rPr>
                <w:lang w:val="en-US"/>
              </w:rPr>
              <w:t>idegrendszerben</w:t>
            </w:r>
            <w:proofErr w:type="spellEnd"/>
          </w:p>
        </w:tc>
      </w:tr>
      <w:tr w:rsidR="008052A9" w:rsidRPr="00054265" w:rsidTr="00867121">
        <w:tc>
          <w:tcPr>
            <w:tcW w:w="3116" w:type="dxa"/>
          </w:tcPr>
          <w:p w:rsidR="008052A9" w:rsidRPr="00D63159" w:rsidRDefault="008052A9" w:rsidP="00D63159">
            <w:pPr>
              <w:spacing w:after="0" w:line="240" w:lineRule="auto"/>
              <w:rPr>
                <w:lang w:val="en-US"/>
              </w:rPr>
            </w:pPr>
            <w:proofErr w:type="spellStart"/>
            <w:r w:rsidRPr="00D63159">
              <w:rPr>
                <w:lang w:val="en-US"/>
              </w:rPr>
              <w:t>Glutamin</w:t>
            </w:r>
            <w:proofErr w:type="spellEnd"/>
          </w:p>
        </w:tc>
        <w:tc>
          <w:tcPr>
            <w:tcW w:w="6172" w:type="dxa"/>
          </w:tcPr>
          <w:p w:rsidR="008052A9" w:rsidRPr="00D63159" w:rsidRDefault="00FC3A63" w:rsidP="00FC3A63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color w:val="000000"/>
                <w:lang w:val="en-GB" w:eastAsia="fr-FR"/>
              </w:rPr>
              <w:t>Fontos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szerepe</w:t>
            </w:r>
            <w:proofErr w:type="spellEnd"/>
            <w:r>
              <w:rPr>
                <w:color w:val="000000"/>
                <w:lang w:val="en-GB" w:eastAsia="fr-FR"/>
              </w:rPr>
              <w:t xml:space="preserve"> van a </w:t>
            </w:r>
            <w:proofErr w:type="spellStart"/>
            <w:r>
              <w:rPr>
                <w:color w:val="000000"/>
                <w:lang w:val="en-GB" w:eastAsia="fr-FR"/>
              </w:rPr>
              <w:t>gyomor</w:t>
            </w:r>
            <w:proofErr w:type="spellEnd"/>
            <w:r>
              <w:rPr>
                <w:color w:val="000000"/>
                <w:lang w:val="en-GB" w:eastAsia="fr-FR"/>
              </w:rPr>
              <w:t xml:space="preserve">- , </w:t>
            </w:r>
            <w:proofErr w:type="spellStart"/>
            <w:r>
              <w:rPr>
                <w:color w:val="000000"/>
                <w:lang w:val="en-GB" w:eastAsia="fr-FR"/>
              </w:rPr>
              <w:t>bélrendszer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és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az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immunrendszer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épségének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fenntartásában</w:t>
            </w:r>
            <w:proofErr w:type="spellEnd"/>
          </w:p>
        </w:tc>
      </w:tr>
      <w:tr w:rsidR="008052A9" w:rsidRPr="00054265" w:rsidTr="00867121">
        <w:tc>
          <w:tcPr>
            <w:tcW w:w="3116" w:type="dxa"/>
          </w:tcPr>
          <w:p w:rsidR="008052A9" w:rsidRPr="002E48E7" w:rsidRDefault="00F47A43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Esszenciális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zsírsavak</w:t>
            </w:r>
            <w:proofErr w:type="spellEnd"/>
            <w:r>
              <w:rPr>
                <w:lang w:val="en-US"/>
              </w:rPr>
              <w:t xml:space="preserve"> (Omega 3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 w:rsidR="008052A9" w:rsidRPr="002E48E7">
              <w:rPr>
                <w:lang w:val="en-US"/>
              </w:rPr>
              <w:t xml:space="preserve"> Omega 6)</w:t>
            </w:r>
          </w:p>
        </w:tc>
        <w:tc>
          <w:tcPr>
            <w:tcW w:w="6172" w:type="dxa"/>
          </w:tcPr>
          <w:p w:rsidR="008052A9" w:rsidRPr="004B512C" w:rsidRDefault="004370B0" w:rsidP="003039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zsírsavak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szükségesek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biológiai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folyamatokhoz</w:t>
            </w:r>
            <w:proofErr w:type="spellEnd"/>
            <w:r w:rsidR="00E95935">
              <w:rPr>
                <w:lang w:val="en-US"/>
              </w:rPr>
              <w:t xml:space="preserve">, </w:t>
            </w:r>
            <w:proofErr w:type="spellStart"/>
            <w:r w:rsidR="00E95935">
              <w:rPr>
                <w:lang w:val="en-US"/>
              </w:rPr>
              <w:t>úgy</w:t>
            </w:r>
            <w:proofErr w:type="spellEnd"/>
            <w:r w:rsidR="00E95935">
              <w:rPr>
                <w:lang w:val="en-US"/>
              </w:rPr>
              <w:t xml:space="preserve"> mint a </w:t>
            </w:r>
            <w:proofErr w:type="spellStart"/>
            <w:r w:rsidR="00E95935">
              <w:rPr>
                <w:lang w:val="en-US"/>
              </w:rPr>
              <w:t>foszfolipid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szterol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építőkövek</w:t>
            </w:r>
            <w:proofErr w:type="spellEnd"/>
            <w:r w:rsidR="00E95935">
              <w:rPr>
                <w:lang w:val="en-US"/>
              </w:rPr>
              <w:t xml:space="preserve"> a </w:t>
            </w:r>
            <w:proofErr w:type="spellStart"/>
            <w:r w:rsidR="00E95935">
              <w:rPr>
                <w:lang w:val="en-US"/>
              </w:rPr>
              <w:t>sejt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növekedéséhez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és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gyógyulásához</w:t>
            </w:r>
            <w:proofErr w:type="spellEnd"/>
            <w:r w:rsidR="00E95935">
              <w:rPr>
                <w:lang w:val="en-US"/>
              </w:rPr>
              <w:t xml:space="preserve">, a </w:t>
            </w:r>
            <w:proofErr w:type="spellStart"/>
            <w:r w:rsidR="00E95935">
              <w:rPr>
                <w:lang w:val="en-US"/>
              </w:rPr>
              <w:t>prosztaglandin</w:t>
            </w:r>
            <w:proofErr w:type="spellEnd"/>
            <w:r w:rsidR="00E95935">
              <w:rPr>
                <w:lang w:val="en-US"/>
              </w:rPr>
              <w:t xml:space="preserve"> , </w:t>
            </w:r>
            <w:proofErr w:type="spellStart"/>
            <w:r w:rsidR="00E95935">
              <w:rPr>
                <w:lang w:val="en-US"/>
              </w:rPr>
              <w:t>leukotrién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és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tromboxán</w:t>
            </w:r>
            <w:proofErr w:type="spellEnd"/>
            <w:r w:rsidR="00E95935">
              <w:rPr>
                <w:lang w:val="en-US"/>
              </w:rPr>
              <w:t xml:space="preserve"> </w:t>
            </w:r>
            <w:proofErr w:type="spellStart"/>
            <w:r w:rsidR="00E95935">
              <w:rPr>
                <w:lang w:val="en-US"/>
              </w:rPr>
              <w:t>szintézishez</w:t>
            </w:r>
            <w:proofErr w:type="spellEnd"/>
          </w:p>
        </w:tc>
      </w:tr>
      <w:tr w:rsidR="008052A9" w:rsidRPr="00054265" w:rsidTr="00867121">
        <w:tc>
          <w:tcPr>
            <w:tcW w:w="3116" w:type="dxa"/>
          </w:tcPr>
          <w:p w:rsidR="008052A9" w:rsidRPr="002E48E7" w:rsidRDefault="00F47A43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Prebiotikumok</w:t>
            </w:r>
            <w:proofErr w:type="spellEnd"/>
            <w:r w:rsidR="008052A9" w:rsidRPr="002E48E7">
              <w:rPr>
                <w:lang w:val="en-US"/>
              </w:rPr>
              <w:t xml:space="preserve"> (</w:t>
            </w:r>
            <w:proofErr w:type="spellStart"/>
            <w:r w:rsidR="008052A9" w:rsidRPr="002E48E7">
              <w:rPr>
                <w:lang w:val="en-US"/>
              </w:rPr>
              <w:t>Inulin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Oligofruktóz</w:t>
            </w:r>
            <w:proofErr w:type="spellEnd"/>
            <w:r w:rsidR="008052A9" w:rsidRPr="002E48E7">
              <w:rPr>
                <w:lang w:val="en-US"/>
              </w:rPr>
              <w:t>)</w:t>
            </w:r>
          </w:p>
        </w:tc>
        <w:tc>
          <w:tcPr>
            <w:tcW w:w="6172" w:type="dxa"/>
          </w:tcPr>
          <w:p w:rsidR="008052A9" w:rsidRPr="004B512C" w:rsidRDefault="00B34A3F" w:rsidP="00B15CC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Prebiotikumok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olyan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természetes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oldható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rostok</w:t>
            </w:r>
            <w:proofErr w:type="spellEnd"/>
            <w:r w:rsidR="00B15CC0">
              <w:rPr>
                <w:lang w:val="en-US"/>
              </w:rPr>
              <w:t xml:space="preserve">, </w:t>
            </w:r>
            <w:proofErr w:type="spellStart"/>
            <w:r w:rsidR="00B15CC0">
              <w:rPr>
                <w:lang w:val="en-US"/>
              </w:rPr>
              <w:t>melyek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kis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mennyiségben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több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növényben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megtalálhatók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és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az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emésztőrendszerben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lévő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egészséges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baktériumok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növekedését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és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aktivitását</w:t>
            </w:r>
            <w:proofErr w:type="spellEnd"/>
            <w:r w:rsidR="00B15CC0">
              <w:rPr>
                <w:lang w:val="en-US"/>
              </w:rPr>
              <w:t xml:space="preserve"> </w:t>
            </w:r>
            <w:proofErr w:type="spellStart"/>
            <w:r w:rsidR="00B15CC0">
              <w:rPr>
                <w:lang w:val="en-US"/>
              </w:rPr>
              <w:t>serkentik</w:t>
            </w:r>
            <w:proofErr w:type="spellEnd"/>
            <w:r w:rsidR="008052A9" w:rsidRPr="004B512C">
              <w:rPr>
                <w:lang w:val="en-US"/>
              </w:rPr>
              <w:t xml:space="preserve"> </w:t>
            </w:r>
          </w:p>
        </w:tc>
      </w:tr>
      <w:tr w:rsidR="008052A9" w:rsidRPr="00054265" w:rsidTr="00867121">
        <w:tc>
          <w:tcPr>
            <w:tcW w:w="3116" w:type="dxa"/>
          </w:tcPr>
          <w:p w:rsidR="008052A9" w:rsidRPr="002E48E7" w:rsidRDefault="008052A9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Vitamin</w:t>
            </w:r>
            <w:r w:rsidR="00F47A43">
              <w:rPr>
                <w:lang w:val="en-US"/>
              </w:rPr>
              <w:t>ok</w:t>
            </w:r>
            <w:proofErr w:type="spellEnd"/>
          </w:p>
        </w:tc>
        <w:tc>
          <w:tcPr>
            <w:tcW w:w="6172" w:type="dxa"/>
          </w:tcPr>
          <w:p w:rsidR="008052A9" w:rsidRPr="004B512C" w:rsidRDefault="00D22D9A" w:rsidP="00D22D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Fontos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vegyületek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melyek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szervezet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számára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szükségesek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főként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diéta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hiány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esetén</w:t>
            </w:r>
            <w:proofErr w:type="spellEnd"/>
          </w:p>
        </w:tc>
      </w:tr>
    </w:tbl>
    <w:p w:rsidR="00BD1FBF" w:rsidRDefault="00BD1FBF" w:rsidP="00BD1FB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Mesterséges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tartósítószereket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szinezőanyagot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tartalmaz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3A4AF6" w:rsidP="00617CC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FELHASZNÁLÁSI JAVASLAT</w:t>
      </w:r>
    </w:p>
    <w:p w:rsidR="008052A9" w:rsidRDefault="006A1D0A" w:rsidP="00617CC7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en-GB" w:eastAsia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317500</wp:posOffset>
            </wp:positionV>
            <wp:extent cx="1028700" cy="1019175"/>
            <wp:effectExtent l="0" t="0" r="0" b="9525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00" t="10344" r="79411" b="1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Első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kinyitáskor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csavarja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le a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fehér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kupakot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és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szakítsa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át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a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biztonsági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fóliát</w:t>
      </w:r>
      <w:proofErr w:type="spellEnd"/>
      <w:r w:rsidR="00386874">
        <w:rPr>
          <w:rFonts w:ascii="Helv" w:hAnsi="Helv" w:cs="Helv"/>
          <w:color w:val="000000"/>
          <w:sz w:val="20"/>
          <w:szCs w:val="20"/>
          <w:lang w:val="en-GB" w:eastAsia="fr-FR"/>
        </w:rPr>
        <w:t>.</w:t>
      </w:r>
    </w:p>
    <w:p w:rsidR="008052A9" w:rsidRDefault="008052A9" w:rsidP="00617CC7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en-GB" w:eastAsia="fr-FR"/>
        </w:rPr>
      </w:pPr>
    </w:p>
    <w:p w:rsidR="008052A9" w:rsidRPr="00861145" w:rsidRDefault="008052A9" w:rsidP="00617CC7">
      <w:pPr>
        <w:spacing w:after="0" w:line="240" w:lineRule="auto"/>
        <w:rPr>
          <w:b/>
          <w:lang w:val="en-GB"/>
        </w:rPr>
      </w:pPr>
    </w:p>
    <w:p w:rsidR="00386874" w:rsidRDefault="00386874" w:rsidP="00386874">
      <w:pPr>
        <w:spacing w:after="0" w:line="240" w:lineRule="auto"/>
        <w:rPr>
          <w:lang w:val="en-US"/>
        </w:rPr>
      </w:pPr>
      <w:r>
        <w:rPr>
          <w:lang w:val="en-GB"/>
        </w:rPr>
        <w:t xml:space="preserve">1- </w:t>
      </w:r>
      <w:proofErr w:type="spellStart"/>
      <w:r>
        <w:rPr>
          <w:lang w:val="en-US"/>
        </w:rPr>
        <w:t>Használat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előtt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felrázandó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üledékképződés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jelenség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highlight w:val="yellow"/>
          <w:lang w:val="en-US"/>
        </w:rPr>
      </w:pPr>
    </w:p>
    <w:p w:rsidR="008052A9" w:rsidRDefault="008052A9" w:rsidP="00617CC7">
      <w:pPr>
        <w:spacing w:after="0" w:line="240" w:lineRule="auto"/>
        <w:rPr>
          <w:highlight w:val="yellow"/>
          <w:lang w:val="en-US"/>
        </w:rPr>
      </w:pP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8052A9" w:rsidP="00617CC7">
      <w:pPr>
        <w:spacing w:after="0" w:line="240" w:lineRule="auto"/>
        <w:rPr>
          <w:lang w:val="en-US"/>
        </w:rPr>
      </w:pPr>
      <w:r>
        <w:rPr>
          <w:lang w:val="en-US"/>
        </w:rPr>
        <w:t xml:space="preserve">2 – </w:t>
      </w:r>
      <w:proofErr w:type="spellStart"/>
      <w:r w:rsidR="00C0447D">
        <w:rPr>
          <w:lang w:val="en-US"/>
        </w:rPr>
        <w:t>Adagolási</w:t>
      </w:r>
      <w:proofErr w:type="spellEnd"/>
      <w:r w:rsidR="00C0447D">
        <w:rPr>
          <w:lang w:val="en-US"/>
        </w:rPr>
        <w:t xml:space="preserve"> </w:t>
      </w:r>
      <w:proofErr w:type="spellStart"/>
      <w:r w:rsidR="00C0447D">
        <w:rPr>
          <w:lang w:val="en-US"/>
        </w:rPr>
        <w:t>mennyiség</w:t>
      </w:r>
      <w:proofErr w:type="spellEnd"/>
    </w:p>
    <w:p w:rsidR="008052A9" w:rsidRDefault="00211CF1" w:rsidP="00617CC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Javasolt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állatorvos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véleményét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kikérni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kondicióját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megállapítsa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1D782B" w:rsidRDefault="00F9476D" w:rsidP="001D782B">
      <w:p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adag</w:t>
      </w:r>
      <w:proofErr w:type="spellEnd"/>
      <w:r>
        <w:rPr>
          <w:lang w:val="en-US"/>
        </w:rPr>
        <w:t xml:space="preserve"> 6 ml </w:t>
      </w:r>
      <w:proofErr w:type="spellStart"/>
      <w:r>
        <w:rPr>
          <w:lang w:val="en-US"/>
        </w:rPr>
        <w:t>test</w:t>
      </w:r>
      <w:r w:rsidR="001D782B">
        <w:rPr>
          <w:lang w:val="en-US"/>
        </w:rPr>
        <w:t>tömeg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kilongrammonként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egyszer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vagy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többször</w:t>
      </w:r>
      <w:proofErr w:type="spellEnd"/>
      <w:r w:rsidR="001D782B">
        <w:rPr>
          <w:lang w:val="en-US"/>
        </w:rPr>
        <w:t>.</w:t>
      </w:r>
    </w:p>
    <w:p w:rsidR="008052A9" w:rsidRDefault="008052A9" w:rsidP="00464461">
      <w:pPr>
        <w:spacing w:after="0" w:line="240" w:lineRule="auto"/>
        <w:rPr>
          <w:lang w:val="en-US"/>
        </w:rPr>
      </w:pPr>
    </w:p>
    <w:p w:rsidR="001D782B" w:rsidRDefault="00D25F63" w:rsidP="001D782B">
      <w:pPr>
        <w:spacing w:after="0" w:line="240" w:lineRule="auto"/>
        <w:rPr>
          <w:lang w:val="en-US"/>
        </w:rPr>
      </w:pPr>
      <w:proofErr w:type="spellStart"/>
      <w:r w:rsidRPr="00D25F63">
        <w:rPr>
          <w:highlight w:val="lightGray"/>
          <w:lang w:val="en-US"/>
        </w:rPr>
        <w:lastRenderedPageBreak/>
        <w:t>Nutribound</w:t>
      </w:r>
      <w:proofErr w:type="spellEnd"/>
      <w:r w:rsidR="008052A9">
        <w:rPr>
          <w:vertAlign w:val="superscript"/>
          <w:lang w:val="en-US"/>
        </w:rPr>
        <w:t xml:space="preserve"> </w:t>
      </w:r>
      <w:proofErr w:type="spellStart"/>
      <w:r w:rsidR="001D782B">
        <w:rPr>
          <w:lang w:val="en-US"/>
        </w:rPr>
        <w:t>önmagában</w:t>
      </w:r>
      <w:proofErr w:type="spellEnd"/>
      <w:r w:rsidR="001D782B">
        <w:rPr>
          <w:lang w:val="en-US"/>
        </w:rPr>
        <w:t xml:space="preserve">, </w:t>
      </w:r>
      <w:proofErr w:type="spellStart"/>
      <w:r w:rsidR="001D782B">
        <w:rPr>
          <w:lang w:val="en-US"/>
        </w:rPr>
        <w:t>vízbe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keverve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vagy</w:t>
      </w:r>
      <w:proofErr w:type="spellEnd"/>
      <w:r w:rsidR="001D782B">
        <w:rPr>
          <w:lang w:val="en-US"/>
        </w:rPr>
        <w:t xml:space="preserve"> a </w:t>
      </w:r>
      <w:proofErr w:type="spellStart"/>
      <w:r w:rsidR="001D782B">
        <w:rPr>
          <w:lang w:val="en-US"/>
        </w:rPr>
        <w:t>takarmányra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öntve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adható</w:t>
      </w:r>
      <w:proofErr w:type="spellEnd"/>
      <w:r w:rsidR="001D782B">
        <w:rPr>
          <w:lang w:val="en-US"/>
        </w:rPr>
        <w:t xml:space="preserve">. </w:t>
      </w:r>
      <w:proofErr w:type="spellStart"/>
      <w:r w:rsidR="001D782B">
        <w:rPr>
          <w:lang w:val="en-US"/>
        </w:rPr>
        <w:t>Ivóvíz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mindig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álljon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az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állat</w:t>
      </w:r>
      <w:proofErr w:type="spellEnd"/>
      <w:r w:rsidR="001D782B">
        <w:rPr>
          <w:lang w:val="en-US"/>
        </w:rPr>
        <w:t xml:space="preserve"> </w:t>
      </w:r>
      <w:proofErr w:type="spellStart"/>
      <w:r w:rsidR="001D782B">
        <w:rPr>
          <w:lang w:val="en-US"/>
        </w:rPr>
        <w:t>rendelkezésére</w:t>
      </w:r>
      <w:proofErr w:type="spellEnd"/>
      <w:r w:rsidR="001D782B">
        <w:rPr>
          <w:lang w:val="en-US"/>
        </w:rPr>
        <w:t>.</w:t>
      </w:r>
    </w:p>
    <w:p w:rsidR="00042F90" w:rsidRDefault="00042F90" w:rsidP="001D782B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Használja</w:t>
      </w:r>
      <w:proofErr w:type="spellEnd"/>
      <w:r>
        <w:rPr>
          <w:lang w:val="en-US"/>
        </w:rPr>
        <w:t xml:space="preserve">  a </w:t>
      </w:r>
      <w:proofErr w:type="spellStart"/>
      <w:r>
        <w:rPr>
          <w:lang w:val="en-US"/>
        </w:rPr>
        <w:t>dobozban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található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edényt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méréshez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D25F63" w:rsidP="00617CC7">
      <w:pPr>
        <w:spacing w:after="0" w:line="240" w:lineRule="auto"/>
        <w:rPr>
          <w:lang w:val="en-US"/>
        </w:rPr>
      </w:pPr>
      <w:proofErr w:type="spellStart"/>
      <w:r w:rsidRPr="00D25F63">
        <w:rPr>
          <w:highlight w:val="lightGray"/>
          <w:lang w:val="en-US"/>
        </w:rPr>
        <w:t>Nutribound</w:t>
      </w:r>
      <w:proofErr w:type="spellEnd"/>
      <w:r w:rsidRPr="0076787C">
        <w:rPr>
          <w:lang w:val="en-US"/>
        </w:rPr>
        <w:t xml:space="preserve"> </w:t>
      </w:r>
      <w:proofErr w:type="spellStart"/>
      <w:r w:rsidR="00992706">
        <w:rPr>
          <w:lang w:val="en-US"/>
        </w:rPr>
        <w:t>adható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végig</w:t>
      </w:r>
      <w:proofErr w:type="spellEnd"/>
      <w:r w:rsidR="00992706">
        <w:rPr>
          <w:lang w:val="en-US"/>
        </w:rPr>
        <w:t xml:space="preserve"> a </w:t>
      </w:r>
      <w:proofErr w:type="spellStart"/>
      <w:r w:rsidR="00992706">
        <w:rPr>
          <w:lang w:val="en-US"/>
        </w:rPr>
        <w:t>lábadozási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idő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alatt</w:t>
      </w:r>
      <w:proofErr w:type="spellEnd"/>
      <w:r w:rsidR="00992706">
        <w:rPr>
          <w:lang w:val="en-US"/>
        </w:rPr>
        <w:t xml:space="preserve">, a </w:t>
      </w:r>
      <w:proofErr w:type="spellStart"/>
      <w:r w:rsidR="00992706">
        <w:rPr>
          <w:lang w:val="en-US"/>
        </w:rPr>
        <w:t>kezdeti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stádiumtól</w:t>
      </w:r>
      <w:proofErr w:type="spellEnd"/>
      <w:r w:rsidR="00992706">
        <w:rPr>
          <w:lang w:val="en-US"/>
        </w:rPr>
        <w:t xml:space="preserve"> a </w:t>
      </w:r>
      <w:proofErr w:type="spellStart"/>
      <w:r w:rsidR="00992706">
        <w:rPr>
          <w:lang w:val="en-US"/>
        </w:rPr>
        <w:t>szokásos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étvágy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visszatértéig</w:t>
      </w:r>
      <w:proofErr w:type="spellEnd"/>
      <w:r w:rsidR="00992706">
        <w:rPr>
          <w:lang w:val="en-US"/>
        </w:rPr>
        <w:t xml:space="preserve">. </w:t>
      </w:r>
      <w:proofErr w:type="spellStart"/>
      <w:r w:rsidR="00992706">
        <w:rPr>
          <w:lang w:val="en-US"/>
        </w:rPr>
        <w:t>Az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ajánlott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protokoll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három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fázisra</w:t>
      </w:r>
      <w:proofErr w:type="spellEnd"/>
      <w:r w:rsidR="00992706">
        <w:rPr>
          <w:lang w:val="en-US"/>
        </w:rPr>
        <w:t xml:space="preserve"> </w:t>
      </w:r>
      <w:proofErr w:type="spellStart"/>
      <w:r w:rsidR="00992706">
        <w:rPr>
          <w:lang w:val="en-US"/>
        </w:rPr>
        <w:t>osztható</w:t>
      </w:r>
      <w:proofErr w:type="spellEnd"/>
      <w:r w:rsidR="00992706">
        <w:rPr>
          <w:lang w:val="en-US"/>
        </w:rPr>
        <w:t>: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083E74" w:rsidP="00617CC7">
      <w:pPr>
        <w:spacing w:after="0" w:line="240" w:lineRule="auto"/>
        <w:rPr>
          <w:lang w:val="en-US"/>
        </w:rPr>
      </w:pPr>
      <w:r>
        <w:rPr>
          <w:noProof/>
          <w:lang w:val="hu-HU" w:eastAsia="hu-HU"/>
        </w:rPr>
        <w:drawing>
          <wp:inline distT="0" distB="0" distL="0" distR="0">
            <wp:extent cx="5760720" cy="160721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1F33B2" w:rsidRDefault="001F33B2" w:rsidP="00617CC7">
      <w:pPr>
        <w:spacing w:after="0" w:line="240" w:lineRule="auto"/>
        <w:rPr>
          <w:lang w:val="en-US"/>
        </w:rPr>
      </w:pPr>
    </w:p>
    <w:p w:rsidR="008052A9" w:rsidRDefault="00083E74" w:rsidP="00617CC7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1 - </w:t>
      </w:r>
      <w:proofErr w:type="spellStart"/>
      <w:r w:rsidR="0007344B">
        <w:rPr>
          <w:b/>
          <w:u w:val="single"/>
          <w:lang w:val="en-US"/>
        </w:rPr>
        <w:t>Kezdeti</w:t>
      </w:r>
      <w:proofErr w:type="spellEnd"/>
      <w:r w:rsidR="0007344B">
        <w:rPr>
          <w:b/>
          <w:u w:val="single"/>
          <w:lang w:val="en-US"/>
        </w:rPr>
        <w:t xml:space="preserve"> </w:t>
      </w:r>
      <w:proofErr w:type="spellStart"/>
      <w:r w:rsidR="0007344B">
        <w:rPr>
          <w:b/>
          <w:u w:val="single"/>
          <w:lang w:val="en-US"/>
        </w:rPr>
        <w:t>fázis</w:t>
      </w:r>
      <w:proofErr w:type="spellEnd"/>
      <w:r w:rsidR="008052A9" w:rsidRPr="00487CAE">
        <w:rPr>
          <w:b/>
          <w:u w:val="single"/>
          <w:lang w:val="en-US"/>
        </w:rPr>
        <w:t>:</w:t>
      </w:r>
      <w:r w:rsidR="008052A9">
        <w:rPr>
          <w:b/>
          <w:lang w:val="en-US"/>
        </w:rPr>
        <w:t xml:space="preserve"> </w:t>
      </w:r>
      <w:r w:rsidR="00780BF4" w:rsidRPr="00780BF4">
        <w:rPr>
          <w:lang w:val="en-US"/>
        </w:rPr>
        <w:t xml:space="preserve">A </w:t>
      </w:r>
      <w:proofErr w:type="spellStart"/>
      <w:r w:rsidR="00780BF4" w:rsidRPr="00780BF4">
        <w:rPr>
          <w:lang w:val="en-US"/>
        </w:rPr>
        <w:t>lábadozási</w:t>
      </w:r>
      <w:proofErr w:type="spellEnd"/>
      <w:r w:rsidR="00780BF4" w:rsidRPr="00780BF4">
        <w:rPr>
          <w:lang w:val="en-US"/>
        </w:rPr>
        <w:t xml:space="preserve"> </w:t>
      </w:r>
      <w:proofErr w:type="spellStart"/>
      <w:r w:rsidR="00780BF4" w:rsidRPr="00780BF4">
        <w:rPr>
          <w:lang w:val="en-US"/>
        </w:rPr>
        <w:t>idő</w:t>
      </w:r>
      <w:proofErr w:type="spellEnd"/>
      <w:r w:rsidR="00780BF4" w:rsidRP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első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óráitól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adható</w:t>
      </w:r>
      <w:proofErr w:type="spellEnd"/>
      <w:r w:rsidR="00780BF4">
        <w:rPr>
          <w:lang w:val="en-US"/>
        </w:rPr>
        <w:t xml:space="preserve"> a </w:t>
      </w:r>
      <w:proofErr w:type="spellStart"/>
      <w:r w:rsidR="00780BF4">
        <w:rPr>
          <w:lang w:val="en-US"/>
        </w:rPr>
        <w:t>macskának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 w:rsidRPr="00D25F63">
        <w:rPr>
          <w:highlight w:val="lightGray"/>
          <w:lang w:val="en-US"/>
        </w:rPr>
        <w:t>Nutribound</w:t>
      </w:r>
      <w:proofErr w:type="spellEnd"/>
      <w:r w:rsidR="00780BF4" w:rsidRPr="001754A6">
        <w:rPr>
          <w:lang w:val="en-US"/>
        </w:rPr>
        <w:t xml:space="preserve"> </w:t>
      </w:r>
      <w:proofErr w:type="spellStart"/>
      <w:r w:rsidR="00780BF4">
        <w:rPr>
          <w:lang w:val="en-US"/>
        </w:rPr>
        <w:t>annak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érdekében</w:t>
      </w:r>
      <w:proofErr w:type="spellEnd"/>
      <w:r w:rsidR="00780BF4">
        <w:rPr>
          <w:lang w:val="en-US"/>
        </w:rPr>
        <w:t xml:space="preserve">, </w:t>
      </w:r>
      <w:proofErr w:type="spellStart"/>
      <w:r w:rsidR="00780BF4">
        <w:rPr>
          <w:lang w:val="en-US"/>
        </w:rPr>
        <w:t>hogy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rehidratálódjon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és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az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esszenciális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anyagokat</w:t>
      </w:r>
      <w:proofErr w:type="spellEnd"/>
      <w:r w:rsidR="00780BF4">
        <w:rPr>
          <w:lang w:val="en-US"/>
        </w:rPr>
        <w:t xml:space="preserve"> </w:t>
      </w:r>
      <w:proofErr w:type="spellStart"/>
      <w:r w:rsidR="00780BF4">
        <w:rPr>
          <w:lang w:val="en-US"/>
        </w:rPr>
        <w:t>megkapja</w:t>
      </w:r>
      <w:proofErr w:type="spellEnd"/>
      <w:r w:rsidR="00780BF4">
        <w:rPr>
          <w:lang w:val="en-US"/>
        </w:rPr>
        <w:t xml:space="preserve">. </w:t>
      </w:r>
    </w:p>
    <w:p w:rsidR="00643371" w:rsidRDefault="00083E74" w:rsidP="00617CC7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2 - </w:t>
      </w:r>
      <w:proofErr w:type="spellStart"/>
      <w:r w:rsidR="0007344B">
        <w:rPr>
          <w:b/>
          <w:u w:val="single"/>
          <w:lang w:val="en-US"/>
        </w:rPr>
        <w:t>Folyatatás</w:t>
      </w:r>
      <w:proofErr w:type="spellEnd"/>
      <w:r w:rsidR="008052A9" w:rsidRPr="00C54652">
        <w:rPr>
          <w:b/>
          <w:u w:val="single"/>
          <w:lang w:val="en-US"/>
        </w:rPr>
        <w:t xml:space="preserve">: </w:t>
      </w:r>
      <w:r w:rsidR="00F21B4B" w:rsidRPr="00F21B4B">
        <w:rPr>
          <w:lang w:val="en-US"/>
        </w:rPr>
        <w:t xml:space="preserve">48 </w:t>
      </w:r>
      <w:proofErr w:type="spellStart"/>
      <w:r w:rsidR="00F21B4B" w:rsidRPr="00F21B4B">
        <w:rPr>
          <w:lang w:val="en-US"/>
        </w:rPr>
        <w:t>óra</w:t>
      </w:r>
      <w:proofErr w:type="spellEnd"/>
      <w:r w:rsidR="00F21B4B" w:rsidRPr="00F21B4B">
        <w:rPr>
          <w:lang w:val="en-US"/>
        </w:rPr>
        <w:t xml:space="preserve"> </w:t>
      </w:r>
      <w:proofErr w:type="spellStart"/>
      <w:r w:rsidR="00F21B4B" w:rsidRPr="00F21B4B">
        <w:rPr>
          <w:lang w:val="en-US"/>
        </w:rPr>
        <w:t>elteltével</w:t>
      </w:r>
      <w:proofErr w:type="spellEnd"/>
      <w:r w:rsidR="00F21B4B" w:rsidRPr="00F21B4B">
        <w:rPr>
          <w:lang w:val="en-US"/>
        </w:rPr>
        <w:t xml:space="preserve"> </w:t>
      </w:r>
      <w:proofErr w:type="spellStart"/>
      <w:r w:rsidR="00B901C9">
        <w:rPr>
          <w:lang w:val="en-US"/>
        </w:rPr>
        <w:t>szükséges</w:t>
      </w:r>
      <w:proofErr w:type="spellEnd"/>
      <w:r w:rsidR="00B901C9">
        <w:rPr>
          <w:lang w:val="en-US"/>
        </w:rPr>
        <w:t xml:space="preserve"> </w:t>
      </w:r>
      <w:r w:rsidR="00F21B4B" w:rsidRPr="00F21B4B">
        <w:rPr>
          <w:lang w:val="en-US"/>
        </w:rPr>
        <w:t>a</w:t>
      </w:r>
      <w:r w:rsidR="00F21B4B">
        <w:rPr>
          <w:lang w:val="en-US"/>
        </w:rPr>
        <w:t xml:space="preserve"> </w:t>
      </w:r>
      <w:proofErr w:type="spellStart"/>
      <w:r w:rsidR="00B901C9">
        <w:rPr>
          <w:lang w:val="en-US"/>
        </w:rPr>
        <w:t>táplálkozás</w:t>
      </w:r>
      <w:proofErr w:type="spellEnd"/>
      <w:r w:rsidR="00B901C9">
        <w:rPr>
          <w:lang w:val="en-US"/>
        </w:rPr>
        <w:t xml:space="preserve"> </w:t>
      </w:r>
      <w:proofErr w:type="spellStart"/>
      <w:r w:rsidR="00B901C9">
        <w:rPr>
          <w:lang w:val="en-US"/>
        </w:rPr>
        <w:t>megkezdése</w:t>
      </w:r>
      <w:proofErr w:type="spellEnd"/>
      <w:r w:rsidR="00F21B4B">
        <w:rPr>
          <w:lang w:val="en-US"/>
        </w:rPr>
        <w:t>.</w:t>
      </w:r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Azért</w:t>
      </w:r>
      <w:proofErr w:type="spellEnd"/>
      <w:r w:rsidR="007871EA">
        <w:rPr>
          <w:lang w:val="en-US"/>
        </w:rPr>
        <w:t xml:space="preserve">, </w:t>
      </w:r>
      <w:proofErr w:type="spellStart"/>
      <w:r w:rsidR="007871EA">
        <w:rPr>
          <w:lang w:val="en-US"/>
        </w:rPr>
        <w:t>hogy</w:t>
      </w:r>
      <w:proofErr w:type="spellEnd"/>
      <w:r w:rsidR="007871EA">
        <w:rPr>
          <w:lang w:val="en-US"/>
        </w:rPr>
        <w:t xml:space="preserve"> a </w:t>
      </w:r>
      <w:proofErr w:type="spellStart"/>
      <w:r w:rsidR="007871EA">
        <w:rPr>
          <w:lang w:val="en-US"/>
        </w:rPr>
        <w:t>súlyosan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érintett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állatok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esetében</w:t>
      </w:r>
      <w:proofErr w:type="spellEnd"/>
      <w:r w:rsidR="007871EA">
        <w:rPr>
          <w:lang w:val="en-US"/>
        </w:rPr>
        <w:t xml:space="preserve"> a </w:t>
      </w:r>
      <w:proofErr w:type="spellStart"/>
      <w:r w:rsidR="007871EA">
        <w:rPr>
          <w:lang w:val="en-US"/>
        </w:rPr>
        <w:t>nagy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energiatartalmú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és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jól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emészthető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anyagok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kis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és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ismételt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adagú</w:t>
      </w:r>
      <w:proofErr w:type="spellEnd"/>
      <w:r w:rsidR="007871EA">
        <w:rPr>
          <w:lang w:val="en-US"/>
        </w:rPr>
        <w:t xml:space="preserve"> </w:t>
      </w:r>
      <w:r w:rsidR="00F21B4B">
        <w:rPr>
          <w:b/>
          <w:u w:val="single"/>
          <w:lang w:val="en-US"/>
        </w:rPr>
        <w:t xml:space="preserve"> </w:t>
      </w:r>
      <w:proofErr w:type="spellStart"/>
      <w:r w:rsidR="007871EA">
        <w:rPr>
          <w:lang w:val="en-US"/>
        </w:rPr>
        <w:t>toleranciája</w:t>
      </w:r>
      <w:proofErr w:type="spellEnd"/>
      <w:r w:rsidR="007871EA">
        <w:rPr>
          <w:lang w:val="en-US"/>
        </w:rPr>
        <w:t xml:space="preserve"> </w:t>
      </w:r>
      <w:proofErr w:type="spellStart"/>
      <w:r w:rsidR="007871EA">
        <w:rPr>
          <w:lang w:val="en-US"/>
        </w:rPr>
        <w:t>fokozódjon</w:t>
      </w:r>
      <w:proofErr w:type="spellEnd"/>
      <w:r w:rsidR="007871EA">
        <w:rPr>
          <w:lang w:val="en-US"/>
        </w:rPr>
        <w:t xml:space="preserve">, </w:t>
      </w:r>
      <w:proofErr w:type="spellStart"/>
      <w:r w:rsidR="00643371">
        <w:rPr>
          <w:lang w:val="en-US"/>
        </w:rPr>
        <w:t>javasolt</w:t>
      </w:r>
      <w:proofErr w:type="spellEnd"/>
      <w:r w:rsidR="00643371">
        <w:rPr>
          <w:lang w:val="en-US"/>
        </w:rPr>
        <w:t xml:space="preserve"> a </w:t>
      </w:r>
      <w:r w:rsidR="007871EA">
        <w:rPr>
          <w:lang w:val="en-US"/>
        </w:rPr>
        <w:t xml:space="preserve"> </w:t>
      </w:r>
      <w:proofErr w:type="spellStart"/>
      <w:r w:rsidR="00643371" w:rsidRPr="00D25F63">
        <w:rPr>
          <w:highlight w:val="lightGray"/>
          <w:lang w:val="en-US"/>
        </w:rPr>
        <w:t>Nutribound</w:t>
      </w:r>
      <w:proofErr w:type="spellEnd"/>
      <w:r w:rsidR="00643371">
        <w:rPr>
          <w:lang w:val="en-US"/>
        </w:rPr>
        <w:t xml:space="preserve">-on </w:t>
      </w:r>
      <w:proofErr w:type="spellStart"/>
      <w:r w:rsidR="00643371">
        <w:rPr>
          <w:lang w:val="en-US"/>
        </w:rPr>
        <w:t>kívül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egyéb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termék</w:t>
      </w:r>
      <w:proofErr w:type="spellEnd"/>
      <w:r w:rsidR="00643371">
        <w:rPr>
          <w:lang w:val="en-US"/>
        </w:rPr>
        <w:t xml:space="preserve"> (pl: </w:t>
      </w:r>
      <w:proofErr w:type="spellStart"/>
      <w:r w:rsidR="00643371">
        <w:rPr>
          <w:lang w:val="en-US"/>
        </w:rPr>
        <w:t>Nutri</w:t>
      </w:r>
      <w:proofErr w:type="spellEnd"/>
      <w:r w:rsidR="00643371">
        <w:rPr>
          <w:lang w:val="en-US"/>
        </w:rPr>
        <w:t xml:space="preserve">-plus gel a </w:t>
      </w:r>
      <w:proofErr w:type="spellStart"/>
      <w:r w:rsidR="00643371">
        <w:rPr>
          <w:lang w:val="en-US"/>
        </w:rPr>
        <w:t>Virbactól</w:t>
      </w:r>
      <w:proofErr w:type="spellEnd"/>
      <w:r w:rsidR="00643371">
        <w:rPr>
          <w:lang w:val="en-US"/>
        </w:rPr>
        <w:t xml:space="preserve">) </w:t>
      </w:r>
      <w:proofErr w:type="spellStart"/>
      <w:r w:rsidR="00643371">
        <w:rPr>
          <w:lang w:val="en-US"/>
        </w:rPr>
        <w:t>adása</w:t>
      </w:r>
      <w:proofErr w:type="spellEnd"/>
      <w:r w:rsidR="00643371">
        <w:rPr>
          <w:lang w:val="en-US"/>
        </w:rPr>
        <w:t>.</w:t>
      </w:r>
    </w:p>
    <w:p w:rsidR="008052A9" w:rsidRPr="00C54652" w:rsidRDefault="008052A9" w:rsidP="00617CC7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After 48 hours</w:t>
      </w:r>
      <w:r w:rsidRPr="00C54652">
        <w:rPr>
          <w:lang w:val="en-US"/>
        </w:rPr>
        <w:t>, introduction of feeding is necessary. To increase tolerance in heavily affected animals, small and repeated intakes of high energetic and high digestible nutrients are recommended</w:t>
      </w:r>
      <w:r>
        <w:rPr>
          <w:lang w:val="en-US"/>
        </w:rPr>
        <w:t xml:space="preserve"> </w:t>
      </w:r>
      <w:r w:rsidRPr="00C54652">
        <w:rPr>
          <w:lang w:val="en-US"/>
        </w:rPr>
        <w:t>in addition to</w:t>
      </w:r>
      <w:r w:rsidR="00D25F63">
        <w:rPr>
          <w:lang w:val="en-US"/>
        </w:rPr>
        <w:t xml:space="preserve"> </w:t>
      </w:r>
      <w:r>
        <w:rPr>
          <w:lang w:val="en-US"/>
        </w:rPr>
        <w:t xml:space="preserve">(e.g. from </w:t>
      </w:r>
      <w:proofErr w:type="spellStart"/>
      <w:r>
        <w:rPr>
          <w:lang w:val="en-US"/>
        </w:rPr>
        <w:t>Virbac</w:t>
      </w:r>
      <w:proofErr w:type="spellEnd"/>
      <w:r>
        <w:rPr>
          <w:lang w:val="en-US"/>
        </w:rPr>
        <w:t>)</w:t>
      </w:r>
      <w:r w:rsidRPr="00C54652">
        <w:rPr>
          <w:lang w:val="en-US"/>
        </w:rPr>
        <w:t xml:space="preserve">. </w:t>
      </w:r>
    </w:p>
    <w:p w:rsidR="008052A9" w:rsidRDefault="00083E74" w:rsidP="00617CC7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3 - </w:t>
      </w:r>
      <w:proofErr w:type="spellStart"/>
      <w:r w:rsidR="00643371">
        <w:rPr>
          <w:b/>
          <w:u w:val="single"/>
          <w:lang w:val="en-US"/>
        </w:rPr>
        <w:t>Átmenet</w:t>
      </w:r>
      <w:proofErr w:type="spellEnd"/>
      <w:r w:rsidR="008052A9">
        <w:rPr>
          <w:b/>
          <w:u w:val="single"/>
          <w:lang w:val="en-US"/>
        </w:rPr>
        <w:t>:</w:t>
      </w:r>
      <w:r w:rsidR="008052A9">
        <w:rPr>
          <w:lang w:val="en-US"/>
        </w:rPr>
        <w:t xml:space="preserve"> </w:t>
      </w:r>
      <w:proofErr w:type="spellStart"/>
      <w:r w:rsidR="00D25F63" w:rsidRPr="00D25F63">
        <w:rPr>
          <w:highlight w:val="lightGray"/>
          <w:lang w:val="en-US"/>
        </w:rPr>
        <w:t>Nutribound</w:t>
      </w:r>
      <w:proofErr w:type="spellEnd"/>
      <w:r w:rsidR="00D25F63">
        <w:rPr>
          <w:lang w:val="en-US"/>
        </w:rPr>
        <w:t xml:space="preserve"> </w:t>
      </w:r>
      <w:r w:rsidR="00643371">
        <w:rPr>
          <w:lang w:val="en-US"/>
        </w:rPr>
        <w:t xml:space="preserve">a </w:t>
      </w:r>
      <w:proofErr w:type="spellStart"/>
      <w:r w:rsidR="00643371">
        <w:rPr>
          <w:lang w:val="en-US"/>
        </w:rPr>
        <w:t>szokásos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étrend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adható</w:t>
      </w:r>
      <w:proofErr w:type="spellEnd"/>
      <w:r w:rsidR="00643371">
        <w:rPr>
          <w:lang w:val="en-US"/>
        </w:rPr>
        <w:t xml:space="preserve">, </w:t>
      </w:r>
      <w:proofErr w:type="spellStart"/>
      <w:r w:rsidR="00643371">
        <w:rPr>
          <w:lang w:val="en-US"/>
        </w:rPr>
        <w:t>hogy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segítsen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visszatérni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az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állat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eredeti</w:t>
      </w:r>
      <w:proofErr w:type="spellEnd"/>
      <w:r w:rsidR="00643371">
        <w:rPr>
          <w:lang w:val="en-US"/>
        </w:rPr>
        <w:t xml:space="preserve"> </w:t>
      </w:r>
      <w:proofErr w:type="spellStart"/>
      <w:r w:rsidR="00643371">
        <w:rPr>
          <w:lang w:val="en-US"/>
        </w:rPr>
        <w:t>étvágyához</w:t>
      </w:r>
      <w:proofErr w:type="spellEnd"/>
      <w:r w:rsidR="00643371">
        <w:rPr>
          <w:lang w:val="en-US"/>
        </w:rPr>
        <w:t>.</w:t>
      </w:r>
      <w:r w:rsidR="008052A9">
        <w:rPr>
          <w:lang w:val="en-US"/>
        </w:rPr>
        <w:t xml:space="preserve"> 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Pr="00DB49E1" w:rsidRDefault="008052A9" w:rsidP="00617CC7">
      <w:pPr>
        <w:pStyle w:val="Listaszerbekezds"/>
        <w:spacing w:after="0" w:line="240" w:lineRule="auto"/>
        <w:ind w:left="360"/>
        <w:rPr>
          <w:b/>
          <w:lang w:val="en-US"/>
        </w:rPr>
      </w:pPr>
      <w:r w:rsidRPr="00DB49E1">
        <w:rPr>
          <w:b/>
          <w:lang w:val="en-US"/>
        </w:rPr>
        <w:t xml:space="preserve"> </w:t>
      </w:r>
      <w:r w:rsidR="00D25F63">
        <w:rPr>
          <w:noProof/>
          <w:lang w:val="hu-HU" w:eastAsia="hu-HU"/>
        </w:rPr>
        <w:drawing>
          <wp:inline distT="0" distB="0" distL="0" distR="0">
            <wp:extent cx="14859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3748BD" w:rsidP="00617CC7">
      <w:p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folyadék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lehetővé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adagolást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fecskendőben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szondán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keresztül</w:t>
      </w:r>
      <w:proofErr w:type="spellEnd"/>
      <w:r>
        <w:rPr>
          <w:lang w:val="en-US"/>
        </w:rPr>
        <w:t xml:space="preserve">. 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Pr="00A20348" w:rsidRDefault="008052A9" w:rsidP="00617CC7">
      <w:pPr>
        <w:rPr>
          <w:noProof/>
          <w:highlight w:val="yellow"/>
          <w:lang w:val="en-GB" w:eastAsia="fr-FR"/>
        </w:rPr>
      </w:pPr>
    </w:p>
    <w:p w:rsidR="008052A9" w:rsidRPr="00831EC0" w:rsidRDefault="008052A9" w:rsidP="00831EC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8052A9" w:rsidRPr="00831EC0" w:rsidSect="00291E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E4" w:rsidRDefault="00A403E4" w:rsidP="00D25F63">
      <w:pPr>
        <w:spacing w:after="0" w:line="240" w:lineRule="auto"/>
      </w:pPr>
      <w:r>
        <w:separator/>
      </w:r>
    </w:p>
  </w:endnote>
  <w:endnote w:type="continuationSeparator" w:id="0">
    <w:p w:rsidR="00A403E4" w:rsidRDefault="00A403E4" w:rsidP="00D2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E4" w:rsidRDefault="00A403E4" w:rsidP="00D25F63">
      <w:pPr>
        <w:spacing w:after="0" w:line="240" w:lineRule="auto"/>
      </w:pPr>
      <w:r>
        <w:separator/>
      </w:r>
    </w:p>
  </w:footnote>
  <w:footnote w:type="continuationSeparator" w:id="0">
    <w:p w:rsidR="00A403E4" w:rsidRDefault="00A403E4" w:rsidP="00D2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63" w:rsidRPr="00871141" w:rsidRDefault="00D25F63" w:rsidP="00D25F63">
    <w:pPr>
      <w:pStyle w:val="lfej"/>
      <w:rPr>
        <w:b/>
        <w:lang w:val="en-GB"/>
      </w:rPr>
    </w:pPr>
    <w:r w:rsidRPr="00871141">
      <w:rPr>
        <w:b/>
        <w:lang w:val="en-GB"/>
      </w:rPr>
      <w:t>FINAL TEXT TO TRANSLATE into your national language</w:t>
    </w:r>
    <w:r>
      <w:rPr>
        <w:b/>
        <w:lang w:val="en-GB"/>
      </w:rPr>
      <w:tab/>
      <w:t>22.01.2016</w:t>
    </w:r>
  </w:p>
  <w:p w:rsidR="00D25F63" w:rsidRDefault="00D25F63" w:rsidP="00D25F63">
    <w:pPr>
      <w:spacing w:after="0" w:line="240" w:lineRule="auto"/>
      <w:rPr>
        <w:rFonts w:asciiTheme="minorHAnsi" w:hAnsiTheme="minorHAnsi" w:cs="Tahoma"/>
        <w:b/>
        <w:szCs w:val="20"/>
        <w:highlight w:val="lightGray"/>
        <w:lang w:val="en-GB"/>
      </w:rPr>
    </w:pPr>
    <w:r>
      <w:rPr>
        <w:b/>
        <w:lang w:val="en-US"/>
      </w:rPr>
      <w:t>Leaflet - NUTRIBOUND CATS</w:t>
    </w:r>
    <w:r w:rsidRPr="00871141">
      <w:rPr>
        <w:rFonts w:asciiTheme="minorHAnsi" w:hAnsiTheme="minorHAnsi" w:cs="Tahoma"/>
        <w:b/>
        <w:szCs w:val="20"/>
        <w:highlight w:val="lightGray"/>
        <w:lang w:val="en-GB"/>
      </w:rPr>
      <w:t xml:space="preserve"> </w:t>
    </w:r>
  </w:p>
  <w:p w:rsidR="00D25F63" w:rsidRPr="00871141" w:rsidRDefault="00D25F63" w:rsidP="00D25F63">
    <w:pPr>
      <w:spacing w:after="0" w:line="240" w:lineRule="auto"/>
      <w:rPr>
        <w:rFonts w:asciiTheme="minorHAnsi" w:eastAsiaTheme="minorHAnsi" w:hAnsiTheme="minorHAnsi" w:cs="Tms Rmn"/>
        <w:color w:val="000000"/>
        <w:szCs w:val="20"/>
      </w:rPr>
    </w:pPr>
    <w:r w:rsidRPr="00871141">
      <w:rPr>
        <w:rFonts w:asciiTheme="minorHAnsi" w:hAnsiTheme="minorHAnsi" w:cs="Tahoma"/>
        <w:szCs w:val="20"/>
        <w:highlight w:val="lightGray"/>
        <w:lang w:val="en-GB"/>
      </w:rPr>
      <w:t>Words in grey</w:t>
    </w:r>
    <w:r w:rsidRPr="00871141">
      <w:rPr>
        <w:rFonts w:asciiTheme="minorHAnsi" w:hAnsiTheme="minorHAnsi" w:cs="Tahoma"/>
        <w:szCs w:val="20"/>
        <w:lang w:val="en-GB"/>
      </w:rPr>
      <w:t xml:space="preserve"> : d</w:t>
    </w:r>
    <w:r w:rsidRPr="00871141">
      <w:rPr>
        <w:rFonts w:asciiTheme="minorHAnsi" w:eastAsiaTheme="minorHAnsi" w:hAnsiTheme="minorHAnsi" w:cs="Tms Rmn"/>
        <w:color w:val="000000"/>
        <w:szCs w:val="20"/>
      </w:rPr>
      <w:t>o not have to be translated</w:t>
    </w:r>
  </w:p>
  <w:p w:rsidR="00D25F63" w:rsidRDefault="00D25F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ECF"/>
    <w:multiLevelType w:val="hybridMultilevel"/>
    <w:tmpl w:val="EAF0BB86"/>
    <w:lvl w:ilvl="0" w:tplc="5344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7245"/>
    <w:multiLevelType w:val="hybridMultilevel"/>
    <w:tmpl w:val="1BD2C0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12"/>
    <w:rsid w:val="00007893"/>
    <w:rsid w:val="00011B91"/>
    <w:rsid w:val="00042F90"/>
    <w:rsid w:val="00044D6C"/>
    <w:rsid w:val="00054265"/>
    <w:rsid w:val="0006181E"/>
    <w:rsid w:val="00061B84"/>
    <w:rsid w:val="0007344B"/>
    <w:rsid w:val="00083E74"/>
    <w:rsid w:val="00095D75"/>
    <w:rsid w:val="000A2930"/>
    <w:rsid w:val="000B1B98"/>
    <w:rsid w:val="000B232F"/>
    <w:rsid w:val="000C77DB"/>
    <w:rsid w:val="000D4BCE"/>
    <w:rsid w:val="0013008E"/>
    <w:rsid w:val="00142DC0"/>
    <w:rsid w:val="001519CE"/>
    <w:rsid w:val="0015650B"/>
    <w:rsid w:val="001754A6"/>
    <w:rsid w:val="001B43DB"/>
    <w:rsid w:val="001B44F0"/>
    <w:rsid w:val="001C7794"/>
    <w:rsid w:val="001C7F14"/>
    <w:rsid w:val="001D782B"/>
    <w:rsid w:val="001E1D08"/>
    <w:rsid w:val="001E314C"/>
    <w:rsid w:val="001F33B2"/>
    <w:rsid w:val="00202252"/>
    <w:rsid w:val="00211CF1"/>
    <w:rsid w:val="0021444E"/>
    <w:rsid w:val="00216549"/>
    <w:rsid w:val="00220699"/>
    <w:rsid w:val="00273B80"/>
    <w:rsid w:val="00280B85"/>
    <w:rsid w:val="0028195F"/>
    <w:rsid w:val="00287DA3"/>
    <w:rsid w:val="00287F62"/>
    <w:rsid w:val="00291E52"/>
    <w:rsid w:val="00295B02"/>
    <w:rsid w:val="002A4749"/>
    <w:rsid w:val="002E48E7"/>
    <w:rsid w:val="002F7E0F"/>
    <w:rsid w:val="0030391C"/>
    <w:rsid w:val="003370F7"/>
    <w:rsid w:val="00346988"/>
    <w:rsid w:val="00365BA2"/>
    <w:rsid w:val="003748BD"/>
    <w:rsid w:val="00386874"/>
    <w:rsid w:val="00390212"/>
    <w:rsid w:val="00393C89"/>
    <w:rsid w:val="003A387B"/>
    <w:rsid w:val="003A4AF6"/>
    <w:rsid w:val="003A730C"/>
    <w:rsid w:val="003A770B"/>
    <w:rsid w:val="003B7141"/>
    <w:rsid w:val="003E0B48"/>
    <w:rsid w:val="003E2675"/>
    <w:rsid w:val="003E5165"/>
    <w:rsid w:val="003F0E7B"/>
    <w:rsid w:val="003F1424"/>
    <w:rsid w:val="00404A8A"/>
    <w:rsid w:val="00433338"/>
    <w:rsid w:val="004370B0"/>
    <w:rsid w:val="00463F88"/>
    <w:rsid w:val="00464461"/>
    <w:rsid w:val="00487CAE"/>
    <w:rsid w:val="00495252"/>
    <w:rsid w:val="004B512C"/>
    <w:rsid w:val="00536B0B"/>
    <w:rsid w:val="00557C67"/>
    <w:rsid w:val="00594573"/>
    <w:rsid w:val="005A6D47"/>
    <w:rsid w:val="005B18CE"/>
    <w:rsid w:val="005D12CD"/>
    <w:rsid w:val="005D487E"/>
    <w:rsid w:val="006007F8"/>
    <w:rsid w:val="00615A51"/>
    <w:rsid w:val="00617CC7"/>
    <w:rsid w:val="006344DF"/>
    <w:rsid w:val="0064140D"/>
    <w:rsid w:val="00643371"/>
    <w:rsid w:val="006464E9"/>
    <w:rsid w:val="00650E9E"/>
    <w:rsid w:val="006A1D0A"/>
    <w:rsid w:val="006D4524"/>
    <w:rsid w:val="00700847"/>
    <w:rsid w:val="0072506B"/>
    <w:rsid w:val="00742450"/>
    <w:rsid w:val="00755D0A"/>
    <w:rsid w:val="00764EA1"/>
    <w:rsid w:val="0076787C"/>
    <w:rsid w:val="00770591"/>
    <w:rsid w:val="007715D1"/>
    <w:rsid w:val="00780BF4"/>
    <w:rsid w:val="007871EA"/>
    <w:rsid w:val="007B7B5B"/>
    <w:rsid w:val="008052A9"/>
    <w:rsid w:val="008126BC"/>
    <w:rsid w:val="00815214"/>
    <w:rsid w:val="00820305"/>
    <w:rsid w:val="00831EC0"/>
    <w:rsid w:val="00861145"/>
    <w:rsid w:val="0086431C"/>
    <w:rsid w:val="00867121"/>
    <w:rsid w:val="00874F1A"/>
    <w:rsid w:val="0087563A"/>
    <w:rsid w:val="008D793F"/>
    <w:rsid w:val="008D7FEF"/>
    <w:rsid w:val="008F12B5"/>
    <w:rsid w:val="00944E5B"/>
    <w:rsid w:val="00950B3D"/>
    <w:rsid w:val="00963DDF"/>
    <w:rsid w:val="00990F9B"/>
    <w:rsid w:val="00992706"/>
    <w:rsid w:val="009A4581"/>
    <w:rsid w:val="009B7CAB"/>
    <w:rsid w:val="009C30CC"/>
    <w:rsid w:val="009D22A3"/>
    <w:rsid w:val="009E6582"/>
    <w:rsid w:val="00A20348"/>
    <w:rsid w:val="00A23A27"/>
    <w:rsid w:val="00A27290"/>
    <w:rsid w:val="00A403E4"/>
    <w:rsid w:val="00A47D44"/>
    <w:rsid w:val="00A6639A"/>
    <w:rsid w:val="00A74E01"/>
    <w:rsid w:val="00A83BCC"/>
    <w:rsid w:val="00A97615"/>
    <w:rsid w:val="00AB03C3"/>
    <w:rsid w:val="00AD0076"/>
    <w:rsid w:val="00AD0BB5"/>
    <w:rsid w:val="00AD2215"/>
    <w:rsid w:val="00AF0FCF"/>
    <w:rsid w:val="00AF430F"/>
    <w:rsid w:val="00B024E5"/>
    <w:rsid w:val="00B07B40"/>
    <w:rsid w:val="00B15CC0"/>
    <w:rsid w:val="00B34A3F"/>
    <w:rsid w:val="00B37900"/>
    <w:rsid w:val="00B45597"/>
    <w:rsid w:val="00B901C9"/>
    <w:rsid w:val="00BB23D5"/>
    <w:rsid w:val="00BC10FF"/>
    <w:rsid w:val="00BC567C"/>
    <w:rsid w:val="00BD148E"/>
    <w:rsid w:val="00BD1FBF"/>
    <w:rsid w:val="00C0447D"/>
    <w:rsid w:val="00C04C07"/>
    <w:rsid w:val="00C06CD2"/>
    <w:rsid w:val="00C12D9B"/>
    <w:rsid w:val="00C13DDE"/>
    <w:rsid w:val="00C36F93"/>
    <w:rsid w:val="00C50877"/>
    <w:rsid w:val="00C54652"/>
    <w:rsid w:val="00C6573B"/>
    <w:rsid w:val="00C90579"/>
    <w:rsid w:val="00CD58B5"/>
    <w:rsid w:val="00D20E68"/>
    <w:rsid w:val="00D22D9A"/>
    <w:rsid w:val="00D25F63"/>
    <w:rsid w:val="00D31F8C"/>
    <w:rsid w:val="00D43830"/>
    <w:rsid w:val="00D461AC"/>
    <w:rsid w:val="00D46ED9"/>
    <w:rsid w:val="00D525C1"/>
    <w:rsid w:val="00D63159"/>
    <w:rsid w:val="00DA1BDF"/>
    <w:rsid w:val="00DA4D33"/>
    <w:rsid w:val="00DA5C63"/>
    <w:rsid w:val="00DB49E1"/>
    <w:rsid w:val="00DD49B2"/>
    <w:rsid w:val="00DF7081"/>
    <w:rsid w:val="00E35CD8"/>
    <w:rsid w:val="00E42826"/>
    <w:rsid w:val="00E62517"/>
    <w:rsid w:val="00E65492"/>
    <w:rsid w:val="00E8525B"/>
    <w:rsid w:val="00E95935"/>
    <w:rsid w:val="00EE7911"/>
    <w:rsid w:val="00EF7966"/>
    <w:rsid w:val="00F0616C"/>
    <w:rsid w:val="00F21B4B"/>
    <w:rsid w:val="00F24C9F"/>
    <w:rsid w:val="00F47A43"/>
    <w:rsid w:val="00F51AFB"/>
    <w:rsid w:val="00F52D83"/>
    <w:rsid w:val="00F5493D"/>
    <w:rsid w:val="00F54EAB"/>
    <w:rsid w:val="00F564AC"/>
    <w:rsid w:val="00F9476D"/>
    <w:rsid w:val="00FA149D"/>
    <w:rsid w:val="00FC3A63"/>
    <w:rsid w:val="00FF2526"/>
    <w:rsid w:val="00FF531E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21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90212"/>
    <w:pPr>
      <w:ind w:left="720"/>
      <w:contextualSpacing/>
    </w:pPr>
  </w:style>
  <w:style w:type="table" w:styleId="Rcsostblzat">
    <w:name w:val="Table Grid"/>
    <w:basedOn w:val="Normltblzat"/>
    <w:uiPriority w:val="99"/>
    <w:rsid w:val="00390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D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49E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A2034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203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564AC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20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564AC"/>
    <w:rPr>
      <w:rFonts w:cs="Times New Roman"/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D461AC"/>
    <w:rPr>
      <w:lang w:eastAsia="en-US"/>
    </w:rPr>
  </w:style>
  <w:style w:type="paragraph" w:styleId="lfej">
    <w:name w:val="header"/>
    <w:basedOn w:val="Norml"/>
    <w:link w:val="lfejChar"/>
    <w:unhideWhenUsed/>
    <w:rsid w:val="00D2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25F63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D2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F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RECTO</vt:lpstr>
      <vt:lpstr>RECTO</vt:lpstr>
      <vt:lpstr>RECTO</vt:lpstr>
    </vt:vector>
  </TitlesOfParts>
  <Company>Virbac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</dc:title>
  <dc:creator>*</dc:creator>
  <cp:lastModifiedBy>Asus</cp:lastModifiedBy>
  <cp:revision>34</cp:revision>
  <cp:lastPrinted>2015-03-16T12:32:00Z</cp:lastPrinted>
  <dcterms:created xsi:type="dcterms:W3CDTF">2016-01-29T13:40:00Z</dcterms:created>
  <dcterms:modified xsi:type="dcterms:W3CDTF">2016-01-29T15:21:00Z</dcterms:modified>
</cp:coreProperties>
</file>